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pPr>
      <w:bookmarkStart w:id="0" w:name="_Hlk19781073"/>
      <w:r>
        <w:t>3GPP T</w:t>
      </w:r>
      <w:bookmarkStart w:id="1" w:name="_Ref452454252"/>
      <w:bookmarkEnd w:id="1"/>
      <w:r>
        <w:t>SG-</w:t>
      </w:r>
      <w:r>
        <w:rPr>
          <w:szCs w:val="24"/>
        </w:rPr>
        <w:t>RAN WG3 Meeting #121-bis</w:t>
      </w:r>
      <w:r>
        <w:tab/>
      </w:r>
      <w:r>
        <w:rPr>
          <w:rFonts w:hint="eastAsia"/>
          <w:lang w:eastAsia="ja-JP"/>
        </w:rPr>
        <w:t xml:space="preserve">R3-235654 </w:t>
      </w:r>
    </w:p>
    <w:p>
      <w:pPr>
        <w:pStyle w:val="116"/>
      </w:pPr>
      <w:bookmarkStart w:id="2" w:name="_Hlk19781143"/>
      <w:r>
        <w:t>Xiamen, China,9th – 13th October 2023</w:t>
      </w:r>
    </w:p>
    <w:bookmarkEnd w:id="0"/>
    <w:bookmarkEnd w:id="2"/>
    <w:p>
      <w:pPr>
        <w:pStyle w:val="34"/>
        <w:rPr>
          <w:rFonts w:cs="Arial"/>
          <w:bCs/>
          <w:sz w:val="24"/>
          <w:lang w:eastAsia="ja-JP"/>
        </w:rPr>
      </w:pPr>
    </w:p>
    <w:p>
      <w:pPr>
        <w:pStyle w:val="34"/>
        <w:rPr>
          <w:rFonts w:cs="Arial"/>
          <w:bCs/>
          <w:sz w:val="24"/>
          <w:lang w:eastAsia="ja-JP"/>
        </w:rPr>
      </w:pPr>
    </w:p>
    <w:p>
      <w:pPr>
        <w:pStyle w:val="87"/>
      </w:pPr>
      <w:r>
        <w:t>Agenda Item:</w:t>
      </w:r>
      <w:r>
        <w:tab/>
      </w:r>
      <w:r>
        <w:t>11.4</w:t>
      </w:r>
    </w:p>
    <w:p>
      <w:pPr>
        <w:pStyle w:val="87"/>
        <w:rPr>
          <w:rFonts w:eastAsia="宋体"/>
          <w:lang w:eastAsia="zh-CN"/>
        </w:rPr>
      </w:pPr>
      <w:r>
        <w:t>Source:</w:t>
      </w:r>
      <w:r>
        <w:tab/>
      </w:r>
      <w:r>
        <w:t>ZTE</w:t>
      </w:r>
      <w:r>
        <w:rPr>
          <w:rFonts w:hint="eastAsia" w:eastAsia="宋体"/>
          <w:lang w:eastAsia="zh-CN"/>
        </w:rPr>
        <w:t>, China Telecom, CMCC</w:t>
      </w:r>
    </w:p>
    <w:p>
      <w:pPr>
        <w:pStyle w:val="87"/>
        <w:ind w:left="1985" w:hanging="1985"/>
        <w:rPr>
          <w:lang w:eastAsia="ja-JP"/>
        </w:rPr>
      </w:pPr>
      <w:r>
        <w:t>Title:</w:t>
      </w:r>
      <w:r>
        <w:tab/>
      </w:r>
      <w:r>
        <w:t xml:space="preserve">Discussion on the other issues of NR </w:t>
      </w:r>
      <w:r>
        <w:rPr>
          <w:rFonts w:hint="eastAsia"/>
        </w:rPr>
        <w:t>QoE</w:t>
      </w:r>
      <w:r>
        <w:t xml:space="preserve"> enhancement</w:t>
      </w:r>
    </w:p>
    <w:p>
      <w:pPr>
        <w:pStyle w:val="87"/>
        <w:rPr>
          <w:lang w:eastAsia="ja-JP"/>
        </w:rPr>
      </w:pPr>
      <w:r>
        <w:t>Document for:</w:t>
      </w:r>
      <w:r>
        <w:tab/>
      </w:r>
      <w:r>
        <w:t xml:space="preserve">Discussions &amp; </w:t>
      </w:r>
      <w:r>
        <w:rPr>
          <w:lang w:eastAsia="ja-JP"/>
        </w:rPr>
        <w:t>Approval</w:t>
      </w:r>
    </w:p>
    <w:p>
      <w:pPr>
        <w:pStyle w:val="2"/>
        <w:rPr>
          <w:rFonts w:cs="Arial"/>
        </w:rPr>
      </w:pPr>
      <w:r>
        <w:rPr>
          <w:rFonts w:cs="Arial"/>
        </w:rPr>
        <w:t>Introduction</w:t>
      </w:r>
    </w:p>
    <w:p>
      <w:pPr>
        <w:pStyle w:val="88"/>
      </w:pPr>
      <w:r>
        <w:t>This paper provides discussion on the other issues of QoE enhanment in Rel-18.</w:t>
      </w:r>
    </w:p>
    <w:p>
      <w:pPr>
        <w:pStyle w:val="2"/>
      </w:pPr>
      <w:r>
        <w:t>Discussion</w:t>
      </w:r>
    </w:p>
    <w:p>
      <w:pPr>
        <w:pStyle w:val="3"/>
        <w:rPr>
          <w:rFonts w:eastAsiaTheme="minorEastAsia"/>
          <w:lang w:eastAsia="zh-CN"/>
        </w:rPr>
      </w:pPr>
      <w:r>
        <w:rPr>
          <w:rFonts w:hint="eastAsia" w:eastAsiaTheme="minorEastAsia"/>
          <w:lang w:eastAsia="zh-CN"/>
        </w:rPr>
        <w:t>T</w:t>
      </w:r>
      <w:r>
        <w:rPr>
          <w:rFonts w:eastAsiaTheme="minorEastAsia"/>
          <w:lang w:eastAsia="zh-CN"/>
        </w:rPr>
        <w:t>hreshold Trigger</w:t>
      </w:r>
    </w:p>
    <w:p>
      <w:pPr>
        <w:rPr>
          <w:rFonts w:eastAsiaTheme="minorEastAsia"/>
          <w:lang w:eastAsia="zh-CN"/>
        </w:rPr>
      </w:pPr>
      <w:r>
        <w:rPr>
          <w:rFonts w:eastAsiaTheme="minorEastAsia"/>
          <w:lang w:eastAsia="zh-CN"/>
        </w:rPr>
        <w:t xml:space="preserve">At the RAN3#121 meeting, the following conclusion was captured for the issue of threshold-based </w:t>
      </w:r>
      <w:r>
        <w:rPr>
          <w:rFonts w:hint="eastAsia" w:eastAsiaTheme="minorEastAsia"/>
          <w:lang w:eastAsia="zh-CN"/>
        </w:rPr>
        <w:t>RVQoE</w:t>
      </w:r>
      <w:r>
        <w:rPr>
          <w:rFonts w:eastAsiaTheme="minorEastAsia"/>
          <w:lang w:eastAsia="zh-CN"/>
        </w:rPr>
        <w:t xml:space="preserve"> reporting:</w:t>
      </w:r>
    </w:p>
    <w:p>
      <w:pPr>
        <w:rPr>
          <w:rFonts w:ascii="Times New Roman" w:hAnsi="Times New Roman" w:eastAsia="宋体"/>
          <w:lang w:val="en-US" w:eastAsia="zh-CN"/>
        </w:rPr>
      </w:pPr>
      <w:r>
        <w:rPr>
          <w:rFonts w:ascii="Calibri" w:hAnsi="Calibri" w:cs="Calibri"/>
          <w:b/>
          <w:bCs/>
          <w:color w:val="FF0000"/>
          <w:sz w:val="18"/>
          <w:szCs w:val="18"/>
        </w:rPr>
        <w:t>The discussion on Threshold-based triggers for RAN visible QoE is suspend in RAN3 and whether further discussion is needed is pending on progress in RAN2 and SA4.</w:t>
      </w:r>
    </w:p>
    <w:p>
      <w:pPr>
        <w:rPr>
          <w:rFonts w:eastAsiaTheme="minorEastAsia"/>
          <w:lang w:eastAsia="zh-CN"/>
        </w:rPr>
      </w:pPr>
      <w:r>
        <w:rPr>
          <w:rFonts w:eastAsiaTheme="minorEastAsia"/>
          <w:lang w:eastAsia="zh-CN"/>
        </w:rPr>
        <w:t>Same situation is in RAN2, because RAN2 has also decided to wait for RAN3 and SA4 progress.</w:t>
      </w:r>
    </w:p>
    <w:p>
      <w:pPr>
        <w:rPr>
          <w:rFonts w:eastAsiaTheme="minorEastAsia"/>
          <w:lang w:eastAsia="zh-CN"/>
        </w:rPr>
      </w:pPr>
      <w:r>
        <w:rPr>
          <w:rFonts w:hint="eastAsia" w:eastAsiaTheme="minorEastAsia"/>
          <w:lang w:eastAsia="zh-CN"/>
        </w:rPr>
        <w:t>N</w:t>
      </w:r>
      <w:r>
        <w:rPr>
          <w:rFonts w:eastAsiaTheme="minorEastAsia"/>
          <w:lang w:eastAsia="zh-CN"/>
        </w:rPr>
        <w:t>ow the final conclusion on this issue seems to be relied on SA4 decision. In the latest LS[</w:t>
      </w:r>
      <w:r>
        <w:rPr>
          <w:rFonts w:hint="eastAsia" w:eastAsiaTheme="minorEastAsia"/>
          <w:lang w:val="en-US" w:eastAsia="zh-CN"/>
        </w:rPr>
        <w:t>1</w:t>
      </w:r>
      <w:r>
        <w:rPr>
          <w:rFonts w:eastAsiaTheme="minorEastAsia"/>
          <w:lang w:eastAsia="zh-CN"/>
        </w:rPr>
        <w:t>] from SA4, they showed negative opinion on definig the threshold-based RVQoE reporting mechanism in the APP layer:</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Times New Roman" w:hAnsi="Times New Roman" w:eastAsia="宋体"/>
                <w:lang w:val="en-US" w:eastAsia="zh-CN"/>
              </w:rPr>
            </w:pPr>
            <w:r>
              <w:t xml:space="preserve">In SA4 reply LS to RAN2 and RAN3 on their LS on buffer level threshold-based RVQoE reporting in S4-231119, SA4 informed that appropriate alternatives for application layer triggering of buffer level threshold-based RVQoE reporting are being considered in SA4. </w:t>
            </w:r>
            <w:r>
              <w:rPr>
                <w:highlight w:val="yellow"/>
              </w:rPr>
              <w:t>SA4 has not identified any buffer level threshold-based RVQoE reporting mechanism and does not see any value in working further in this direction</w:t>
            </w:r>
            <w:r>
              <w:t>. SA4 would also like to point to the network assistance feature related to this problem in TS 26.501. RAN2 and RAN3 are requested to take this information in account.</w:t>
            </w:r>
          </w:p>
        </w:tc>
      </w:tr>
    </w:tbl>
    <w:p>
      <w:pPr>
        <w:spacing w:before="120" w:beforeLines="50"/>
        <w:rPr>
          <w:rFonts w:eastAsiaTheme="minorEastAsia"/>
          <w:lang w:eastAsia="zh-CN"/>
        </w:rPr>
      </w:pPr>
      <w:r>
        <w:rPr>
          <w:rFonts w:hint="eastAsia" w:eastAsiaTheme="minorEastAsia"/>
          <w:lang w:eastAsia="zh-CN"/>
        </w:rPr>
        <w:t>W</w:t>
      </w:r>
      <w:r>
        <w:rPr>
          <w:rFonts w:eastAsiaTheme="minorEastAsia"/>
          <w:lang w:eastAsia="zh-CN"/>
        </w:rPr>
        <w:t>ith this LS, it is almost clear that the discussion in threshold-based RVQoE reporting could be closed.</w:t>
      </w:r>
    </w:p>
    <w:p>
      <w:pPr>
        <w:spacing w:before="120" w:beforeLines="50"/>
        <w:rPr>
          <w:rFonts w:eastAsiaTheme="minorEastAsia"/>
          <w:b/>
          <w:lang w:eastAsia="zh-CN"/>
        </w:rPr>
      </w:pPr>
      <w:r>
        <w:rPr>
          <w:rFonts w:eastAsiaTheme="minorEastAsia"/>
          <w:b/>
          <w:lang w:eastAsia="zh-CN"/>
        </w:rPr>
        <w:t xml:space="preserve">Proposal </w:t>
      </w:r>
      <w:r>
        <w:rPr>
          <w:rFonts w:hint="eastAsia" w:eastAsiaTheme="minorEastAsia"/>
          <w:b/>
          <w:lang w:val="en-US" w:eastAsia="zh-CN"/>
        </w:rPr>
        <w:t>1</w:t>
      </w:r>
      <w:r>
        <w:rPr>
          <w:rFonts w:eastAsiaTheme="minorEastAsia"/>
          <w:b/>
          <w:lang w:eastAsia="zh-CN"/>
        </w:rPr>
        <w:t>: The threshold-based trigger for RVQoE reporting is not supported in Rel-18.</w:t>
      </w:r>
    </w:p>
    <w:p>
      <w:pPr>
        <w:rPr>
          <w:rFonts w:eastAsiaTheme="minorEastAsia"/>
          <w:lang w:eastAsia="zh-CN"/>
        </w:rPr>
      </w:pPr>
      <w:r>
        <w:rPr>
          <w:rFonts w:eastAsiaTheme="minorEastAsia"/>
          <w:lang w:eastAsia="zh-CN"/>
        </w:rPr>
        <w:t xml:space="preserve"> </w:t>
      </w:r>
    </w:p>
    <w:p>
      <w:pPr>
        <w:pStyle w:val="3"/>
        <w:rPr>
          <w:rFonts w:eastAsiaTheme="minorEastAsia"/>
          <w:lang w:eastAsia="zh-CN"/>
        </w:rPr>
      </w:pPr>
      <w:r>
        <w:rPr>
          <w:rFonts w:hint="eastAsia" w:eastAsiaTheme="minorEastAsia"/>
          <w:lang w:eastAsia="zh-CN"/>
        </w:rPr>
        <w:t>D</w:t>
      </w:r>
      <w:r>
        <w:rPr>
          <w:rFonts w:eastAsiaTheme="minorEastAsia"/>
          <w:lang w:eastAsia="zh-CN"/>
        </w:rPr>
        <w:t>U deactivation</w:t>
      </w:r>
    </w:p>
    <w:p>
      <w:pPr>
        <w:rPr>
          <w:rFonts w:eastAsiaTheme="minorEastAsia"/>
          <w:lang w:eastAsia="zh-CN"/>
        </w:rPr>
      </w:pPr>
      <w:r>
        <w:rPr>
          <w:rFonts w:eastAsiaTheme="minorEastAsia"/>
          <w:lang w:eastAsia="zh-CN"/>
        </w:rPr>
        <w:t>During last meeting, there were two camps supporting DU-level and UE-level deactivation of RVQoE reporting over F1 respectively. A compromise was achieved as follows:</w:t>
      </w:r>
    </w:p>
    <w:p>
      <w:pPr>
        <w:overflowPunct w:val="0"/>
        <w:autoSpaceDE w:val="0"/>
        <w:autoSpaceDN w:val="0"/>
        <w:adjustRightInd w:val="0"/>
        <w:spacing w:after="0"/>
        <w:textAlignment w:val="baseline"/>
        <w:rPr>
          <w:rFonts w:ascii="Calibri" w:hAnsi="Calibri" w:eastAsia="宋体" w:cs="Calibri"/>
          <w:b/>
          <w:bCs/>
          <w:color w:val="008000"/>
          <w:sz w:val="18"/>
          <w:szCs w:val="18"/>
          <w:lang w:val="en-US" w:eastAsia="zh-CN"/>
        </w:rPr>
      </w:pPr>
      <w:r>
        <w:rPr>
          <w:rFonts w:ascii="Calibri" w:hAnsi="Calibri" w:eastAsia="宋体" w:cs="Calibri"/>
          <w:b/>
          <w:bCs/>
          <w:color w:val="008000"/>
          <w:sz w:val="18"/>
          <w:szCs w:val="18"/>
          <w:lang w:val="en-US" w:eastAsia="zh-CN"/>
        </w:rPr>
        <w:t>DU can deactivate RVQoE reporting over F1 per UE or per DU (which means all the UEs served by DU). The details on the solution, e.g., whether the F1AP procedure for deactivation of RVQoE reporting is UE-associated or non-UE-associated can be further discussed.</w:t>
      </w:r>
    </w:p>
    <w:p>
      <w:pPr>
        <w:rPr>
          <w:rFonts w:eastAsiaTheme="minorEastAsia"/>
          <w:lang w:val="en-US" w:eastAsia="zh-CN"/>
        </w:rPr>
      </w:pPr>
      <w:r>
        <w:rPr>
          <w:rFonts w:hint="eastAsia" w:eastAsiaTheme="minorEastAsia"/>
          <w:lang w:val="en-US" w:eastAsia="zh-CN"/>
        </w:rPr>
        <w:t>I</w:t>
      </w:r>
      <w:r>
        <w:rPr>
          <w:rFonts w:eastAsiaTheme="minorEastAsia"/>
          <w:lang w:val="en-US" w:eastAsia="zh-CN"/>
        </w:rPr>
        <w:t>n other words, both UE-level and DU-level RVQoE reporting deactivation should be supported over F1. When it comes to the procedure design, we think the non-UE associated procedure with an optional UE list is the best solution. When the UE id list is included in the deactivation message from DU, the CU could deactivate the RVQoE reporting over F1 for these specific UEs. If there is no UE list in the deactivation message, the CU could take it as an indication that the DU wants to deactivate the RVQoE reporting over F1 for all UEs, i.e., in DU level.</w:t>
      </w:r>
      <w:r>
        <w:rPr>
          <w:rFonts w:hint="eastAsia" w:eastAsiaTheme="minorEastAsia"/>
          <w:lang w:val="en-US" w:eastAsia="zh-CN"/>
        </w:rPr>
        <w:t xml:space="preserve"> T</w:t>
      </w:r>
      <w:r>
        <w:rPr>
          <w:rFonts w:eastAsiaTheme="minorEastAsia"/>
          <w:lang w:val="en-US" w:eastAsia="zh-CN"/>
        </w:rPr>
        <w:t>he procedure could be a class-2 procedure, which does not need the CU to response.</w:t>
      </w:r>
    </w:p>
    <w:p>
      <w:pPr>
        <w:rPr>
          <w:rFonts w:eastAsiaTheme="minorEastAsia"/>
          <w:b/>
          <w:lang w:val="en-US" w:eastAsia="zh-CN"/>
        </w:rPr>
      </w:pPr>
      <w:r>
        <w:rPr>
          <w:rFonts w:eastAsiaTheme="minorEastAsia"/>
          <w:b/>
          <w:lang w:val="en-US" w:eastAsia="zh-CN"/>
        </w:rPr>
        <w:t>Proposal 2: A non-UE associated class-2 procedure with an optional UE-id list could be defined for the DU to deactivate RVQoE reporting over F1.</w:t>
      </w:r>
    </w:p>
    <w:p>
      <w:pPr>
        <w:pStyle w:val="3"/>
        <w:rPr>
          <w:rFonts w:eastAsiaTheme="minorEastAsia"/>
          <w:lang w:eastAsia="zh-CN"/>
        </w:rPr>
      </w:pPr>
      <w:r>
        <w:rPr>
          <w:rFonts w:eastAsiaTheme="minorEastAsia"/>
          <w:lang w:eastAsia="zh-CN"/>
        </w:rPr>
        <w:t>Intra 5GC inter-RAT handover</w:t>
      </w:r>
    </w:p>
    <w:p>
      <w:pPr>
        <w:spacing w:before="120" w:after="0"/>
        <w:rPr>
          <w:rFonts w:ascii="Calibri" w:hAnsi="Calibri" w:eastAsia="宋体" w:cs="Calibri"/>
          <w:b/>
          <w:bCs/>
          <w:color w:val="008000"/>
          <w:sz w:val="18"/>
          <w:szCs w:val="18"/>
          <w:lang w:val="en-US" w:eastAsia="zh-CN"/>
        </w:rPr>
      </w:pPr>
      <w:r>
        <w:rPr>
          <w:rStyle w:val="117"/>
          <w:rFonts w:ascii="Calibri" w:hAnsi="Calibri" w:cs="Calibri"/>
          <w:b/>
          <w:bCs/>
          <w:color w:val="008000"/>
          <w:sz w:val="18"/>
          <w:szCs w:val="18"/>
          <w:u w:val="none"/>
        </w:rPr>
        <w:t xml:space="preserve">QoE measurement continuity from NR to LTE/5GC and vice versa can be supported by the current </w:t>
      </w:r>
      <w:r>
        <w:rPr>
          <w:rStyle w:val="117"/>
          <w:rFonts w:ascii="Calibri" w:hAnsi="Calibri" w:cs="Calibri"/>
          <w:b/>
          <w:bCs/>
          <w:i/>
          <w:iCs/>
          <w:color w:val="008000"/>
          <w:sz w:val="18"/>
          <w:szCs w:val="18"/>
          <w:u w:val="none"/>
        </w:rPr>
        <w:t>Area Scope for QMC</w:t>
      </w:r>
      <w:r>
        <w:rPr>
          <w:rStyle w:val="117"/>
          <w:rFonts w:ascii="Calibri" w:hAnsi="Calibri" w:cs="Calibri"/>
          <w:b/>
          <w:bCs/>
          <w:color w:val="008000"/>
          <w:sz w:val="18"/>
          <w:szCs w:val="18"/>
          <w:u w:val="none"/>
        </w:rPr>
        <w:t xml:space="preserve"> IE. </w:t>
      </w:r>
    </w:p>
    <w:p>
      <w:pPr>
        <w:spacing w:before="120" w:after="0"/>
        <w:rPr>
          <w:rStyle w:val="117"/>
          <w:rFonts w:ascii="Calibri" w:hAnsi="Calibri"/>
          <w:u w:val="none"/>
        </w:rPr>
      </w:pPr>
      <w:r>
        <w:rPr>
          <w:rStyle w:val="117"/>
          <w:rFonts w:ascii="Calibri" w:hAnsi="Calibri" w:cs="Calibri"/>
          <w:b/>
          <w:bCs/>
          <w:sz w:val="18"/>
          <w:szCs w:val="18"/>
          <w:u w:val="none"/>
        </w:rPr>
        <w:t>Discuss whether and how a source NR node for handover from NR to LTE/5GC can determine for which service type(s) the UE supports QoE measurements in LTE/5GC.</w:t>
      </w:r>
    </w:p>
    <w:p>
      <w:pPr>
        <w:spacing w:before="120" w:beforeLines="50"/>
        <w:rPr>
          <w:rFonts w:eastAsiaTheme="minorEastAsia"/>
          <w:lang w:eastAsia="zh-CN"/>
        </w:rPr>
      </w:pPr>
      <w:r>
        <w:rPr>
          <w:rFonts w:hint="eastAsia" w:eastAsiaTheme="minorEastAsia"/>
          <w:lang w:eastAsia="zh-CN"/>
        </w:rPr>
        <w:t>T</w:t>
      </w:r>
      <w:r>
        <w:rPr>
          <w:rFonts w:eastAsiaTheme="minorEastAsia"/>
          <w:lang w:eastAsia="zh-CN"/>
        </w:rPr>
        <w:t>here is a WA that it should be the source node to select which QoE configuration to keep for UE moves from NR to LTE. However, there is some concern raised by some company that the source node is not aware of the LTE UE capability for QMC support, in which case the source node may select a QMC configuration with the service type that is not supported by the UE. From our point of view, there is no need to make sure the selected Q</w:t>
      </w:r>
      <w:r>
        <w:rPr>
          <w:rFonts w:hint="eastAsia" w:eastAsiaTheme="minorEastAsia"/>
          <w:lang w:eastAsia="zh-CN"/>
        </w:rPr>
        <w:t>oE</w:t>
      </w:r>
      <w:r>
        <w:rPr>
          <w:rFonts w:eastAsiaTheme="minorEastAsia"/>
          <w:lang w:eastAsia="zh-CN"/>
        </w:rPr>
        <w:t xml:space="preserve"> configuration is supported in LTE each time. The source node could just select a QoE configuration by implementation and passes to the target node. The target node could decide whether to use the selected configuration or not. If the selected QoE configuration is not supported by the UE in LTE, it could be simply discarded.</w:t>
      </w:r>
    </w:p>
    <w:p>
      <w:pPr>
        <w:spacing w:before="120" w:beforeLines="50"/>
        <w:rPr>
          <w:rFonts w:eastAsiaTheme="minorEastAsia"/>
          <w:b/>
          <w:lang w:eastAsia="zh-CN"/>
        </w:rPr>
      </w:pPr>
      <w:r>
        <w:rPr>
          <w:rFonts w:eastAsiaTheme="minorEastAsia"/>
          <w:b/>
          <w:lang w:eastAsia="zh-CN"/>
        </w:rPr>
        <w:t xml:space="preserve">Proposal 3: From NR to LTE, the source node selects which QoE configuration to keep by implementation. There is no need for the source node to be aware of the LTE UE capability for QMC. </w:t>
      </w:r>
    </w:p>
    <w:p>
      <w:pPr>
        <w:pStyle w:val="3"/>
        <w:rPr>
          <w:rFonts w:eastAsiaTheme="minorEastAsia"/>
          <w:lang w:eastAsia="zh-CN"/>
        </w:rPr>
      </w:pPr>
      <w:r>
        <w:rPr>
          <w:rFonts w:hint="eastAsia" w:eastAsiaTheme="minorEastAsia"/>
          <w:lang w:eastAsia="zh-CN"/>
        </w:rPr>
        <w:t>A</w:t>
      </w:r>
      <w:r>
        <w:rPr>
          <w:rFonts w:eastAsiaTheme="minorEastAsia"/>
          <w:lang w:eastAsia="zh-CN"/>
        </w:rPr>
        <w:t>ssistance information</w:t>
      </w:r>
    </w:p>
    <w:p>
      <w:pPr>
        <w:rPr>
          <w:rFonts w:eastAsiaTheme="minorEastAsia"/>
          <w:lang w:eastAsia="zh-CN"/>
        </w:rPr>
      </w:pPr>
      <w:r>
        <w:rPr>
          <w:rFonts w:hint="eastAsia" w:eastAsiaTheme="minorEastAsia"/>
          <w:lang w:eastAsia="zh-CN"/>
        </w:rPr>
        <w:t>T</w:t>
      </w:r>
      <w:r>
        <w:rPr>
          <w:rFonts w:eastAsiaTheme="minorEastAsia"/>
          <w:lang w:eastAsia="zh-CN"/>
        </w:rPr>
        <w:t xml:space="preserve">he assistance information for RAN overload has been pending the SA5 reply previously. At the August meeting, SA5 replied to RAN3 in </w:t>
      </w:r>
      <w:r>
        <w:rPr>
          <w:rFonts w:hint="eastAsia" w:eastAsiaTheme="minorEastAsia"/>
          <w:lang w:val="en-US" w:eastAsia="zh-CN"/>
        </w:rPr>
        <w:t>[2]</w:t>
      </w:r>
      <w:r>
        <w:rPr>
          <w:rFonts w:eastAsiaTheme="minorEastAsia"/>
          <w:lang w:eastAsia="zh-CN"/>
        </w:rPr>
        <w:t xml:space="preserve">. The content in the reply is mainly in two aspects which relates to the RAN3 concerns on </w:t>
      </w:r>
      <w:r>
        <w:rPr>
          <w:rFonts w:hint="eastAsia" w:eastAsiaTheme="minorEastAsia"/>
          <w:lang w:eastAsia="zh-CN"/>
        </w:rPr>
        <w:t>ass</w:t>
      </w:r>
      <w:r>
        <w:rPr>
          <w:rFonts w:eastAsiaTheme="minorEastAsia"/>
          <w:lang w:eastAsia="zh-CN"/>
        </w:rPr>
        <w:t>istance information:</w:t>
      </w:r>
    </w:p>
    <w:p>
      <w:pPr>
        <w:pStyle w:val="118"/>
        <w:numPr>
          <w:ilvl w:val="0"/>
          <w:numId w:val="3"/>
        </w:numPr>
        <w:ind w:firstLineChars="0"/>
        <w:rPr>
          <w:rFonts w:eastAsiaTheme="minorEastAsia"/>
          <w:lang w:eastAsia="zh-CN"/>
        </w:rPr>
      </w:pPr>
      <w:r>
        <w:rPr>
          <w:rFonts w:eastAsiaTheme="minorEastAsia"/>
          <w:lang w:eastAsia="zh-CN"/>
        </w:rPr>
        <w:t>Consumer types or characteristics of reporting</w:t>
      </w:r>
    </w:p>
    <w:p>
      <w:pPr>
        <w:pStyle w:val="118"/>
        <w:ind w:left="360" w:firstLine="0" w:firstLineChars="0"/>
        <w:rPr>
          <w:rFonts w:eastAsiaTheme="minorEastAsia"/>
          <w:lang w:eastAsia="zh-CN"/>
        </w:rPr>
      </w:pPr>
      <w:r>
        <w:rPr>
          <w:rFonts w:hint="eastAsia" w:eastAsiaTheme="minorEastAsia"/>
          <w:lang w:eastAsia="zh-CN"/>
        </w:rPr>
        <w:t>I</w:t>
      </w:r>
      <w:r>
        <w:rPr>
          <w:rFonts w:eastAsiaTheme="minorEastAsia"/>
          <w:lang w:eastAsia="zh-CN"/>
        </w:rPr>
        <w:t>t is mentioned in the reply LS that SA5 does not the different of consumers or characteristics of reporting so far. The chara</w:t>
      </w:r>
      <w:r>
        <w:rPr>
          <w:rFonts w:hint="eastAsia" w:eastAsiaTheme="minorEastAsia"/>
          <w:lang w:val="en-US" w:eastAsia="zh-CN"/>
        </w:rPr>
        <w:t>c</w:t>
      </w:r>
      <w:r>
        <w:rPr>
          <w:rFonts w:eastAsiaTheme="minorEastAsia"/>
          <w:lang w:eastAsia="zh-CN"/>
        </w:rPr>
        <w:t>teristics such as loop cycle, data size has not been introduced in SA5 and would probably not be defined as assistance information for RAN overload.</w:t>
      </w:r>
    </w:p>
    <w:p>
      <w:pPr>
        <w:pStyle w:val="118"/>
        <w:numPr>
          <w:ilvl w:val="0"/>
          <w:numId w:val="3"/>
        </w:numPr>
        <w:ind w:firstLineChars="0"/>
        <w:rPr>
          <w:rFonts w:eastAsiaTheme="minorEastAsia"/>
          <w:lang w:eastAsia="zh-CN"/>
        </w:rPr>
      </w:pPr>
      <w:r>
        <w:rPr>
          <w:rFonts w:eastAsiaTheme="minorEastAsia"/>
          <w:lang w:eastAsia="zh-CN"/>
        </w:rPr>
        <w:t>Priority</w:t>
      </w:r>
    </w:p>
    <w:p>
      <w:pPr>
        <w:pStyle w:val="118"/>
        <w:ind w:left="360" w:firstLine="0" w:firstLineChars="0"/>
        <w:rPr>
          <w:rFonts w:eastAsiaTheme="minorEastAsia"/>
          <w:lang w:eastAsia="zh-CN"/>
        </w:rPr>
      </w:pPr>
      <w:r>
        <w:rPr>
          <w:rFonts w:hint="eastAsia" w:eastAsiaTheme="minorEastAsia"/>
          <w:lang w:eastAsia="zh-CN"/>
        </w:rPr>
        <w:t>S</w:t>
      </w:r>
      <w:r>
        <w:rPr>
          <w:rFonts w:eastAsiaTheme="minorEastAsia"/>
          <w:lang w:eastAsia="zh-CN"/>
        </w:rPr>
        <w:t xml:space="preserve">A5 has confirmed the feasibility of priority per QoE Reference as assistance information to NG-RAN node. </w:t>
      </w:r>
    </w:p>
    <w:p>
      <w:pPr>
        <w:rPr>
          <w:rFonts w:eastAsiaTheme="minorEastAsia"/>
          <w:lang w:eastAsia="zh-CN"/>
        </w:rPr>
      </w:pPr>
      <w:r>
        <w:rPr>
          <w:rFonts w:hint="eastAsia" w:eastAsiaTheme="minorEastAsia"/>
          <w:lang w:eastAsia="zh-CN"/>
        </w:rPr>
        <w:t>W</w:t>
      </w:r>
      <w:r>
        <w:rPr>
          <w:rFonts w:eastAsiaTheme="minorEastAsia"/>
          <w:lang w:eastAsia="zh-CN"/>
        </w:rPr>
        <w:t>ith the reply from SA5, RAN3 could come to con</w:t>
      </w:r>
      <w:r>
        <w:rPr>
          <w:rFonts w:hint="eastAsia" w:eastAsiaTheme="minorEastAsia"/>
          <w:lang w:val="en-US" w:eastAsia="zh-CN"/>
        </w:rPr>
        <w:t>c</w:t>
      </w:r>
      <w:r>
        <w:rPr>
          <w:rFonts w:eastAsiaTheme="minorEastAsia"/>
          <w:lang w:eastAsia="zh-CN"/>
        </w:rPr>
        <w:t>lu</w:t>
      </w:r>
      <w:r>
        <w:rPr>
          <w:rFonts w:hint="eastAsia" w:eastAsiaTheme="minorEastAsia"/>
          <w:lang w:val="en-US" w:eastAsia="zh-CN"/>
        </w:rPr>
        <w:t>s</w:t>
      </w:r>
      <w:r>
        <w:rPr>
          <w:rFonts w:eastAsiaTheme="minorEastAsia"/>
          <w:lang w:eastAsia="zh-CN"/>
        </w:rPr>
        <w:t>ion on this issue, i.e., to introduce priority per QoE Refer</w:t>
      </w:r>
      <w:r>
        <w:rPr>
          <w:rFonts w:hint="eastAsia" w:eastAsiaTheme="minorEastAsia"/>
          <w:lang w:val="en-US" w:eastAsia="zh-CN"/>
        </w:rPr>
        <w:t>e</w:t>
      </w:r>
      <w:r>
        <w:rPr>
          <w:rFonts w:eastAsiaTheme="minorEastAsia"/>
          <w:lang w:eastAsia="zh-CN"/>
        </w:rPr>
        <w:t>nce as assistance information. The QoE configuration in NGAP and XnAP needs to be updated.</w:t>
      </w:r>
    </w:p>
    <w:p>
      <w:pPr>
        <w:rPr>
          <w:rFonts w:eastAsiaTheme="minorEastAsia"/>
          <w:b/>
          <w:lang w:eastAsia="zh-CN"/>
        </w:rPr>
      </w:pPr>
      <w:r>
        <w:rPr>
          <w:rFonts w:hint="eastAsia" w:eastAsiaTheme="minorEastAsia"/>
          <w:b/>
          <w:lang w:eastAsia="zh-CN"/>
        </w:rPr>
        <w:t>P</w:t>
      </w:r>
      <w:r>
        <w:rPr>
          <w:rFonts w:eastAsiaTheme="minorEastAsia"/>
          <w:b/>
          <w:lang w:eastAsia="zh-CN"/>
        </w:rPr>
        <w:t>roposal 4: Introduce priority as assistance information per QoE Reference.</w:t>
      </w:r>
    </w:p>
    <w:p>
      <w:pPr>
        <w:rPr>
          <w:rFonts w:eastAsiaTheme="minorEastAsia"/>
          <w:b/>
          <w:lang w:eastAsia="zh-CN"/>
        </w:rPr>
      </w:pPr>
      <w:r>
        <w:rPr>
          <w:rFonts w:hint="eastAsia" w:eastAsiaTheme="minorEastAsia"/>
          <w:b/>
          <w:lang w:eastAsia="zh-CN"/>
        </w:rPr>
        <w:t>P</w:t>
      </w:r>
      <w:r>
        <w:rPr>
          <w:rFonts w:eastAsiaTheme="minorEastAsia"/>
          <w:b/>
          <w:lang w:eastAsia="zh-CN"/>
        </w:rPr>
        <w:t>roposal 5: Send an LS to SA5 to inform that priority is introduced in the QMC configuration per QoE Reference.</w:t>
      </w:r>
    </w:p>
    <w:p>
      <w:pPr>
        <w:rPr>
          <w:rFonts w:eastAsiaTheme="minorEastAsia"/>
          <w:bCs/>
          <w:lang w:val="en-US" w:eastAsia="zh-CN"/>
        </w:rPr>
      </w:pPr>
      <w:r>
        <w:rPr>
          <w:rFonts w:hint="eastAsia" w:eastAsiaTheme="minorEastAsia"/>
          <w:bCs/>
          <w:lang w:val="en-US" w:eastAsia="zh-CN"/>
        </w:rPr>
        <w:t>A draft LS to SA5 is provided in the Annex.</w:t>
      </w:r>
    </w:p>
    <w:p>
      <w:pPr>
        <w:pStyle w:val="2"/>
        <w:rPr>
          <w:rFonts w:eastAsiaTheme="minorEastAsia"/>
          <w:lang w:eastAsia="zh-CN"/>
        </w:rPr>
      </w:pPr>
      <w:r>
        <w:rPr>
          <w:rFonts w:eastAsiaTheme="minorEastAsia"/>
          <w:lang w:eastAsia="zh-CN"/>
        </w:rPr>
        <w:t>Conclusions</w:t>
      </w:r>
    </w:p>
    <w:p>
      <w:pPr>
        <w:spacing w:before="120" w:beforeLines="50"/>
        <w:rPr>
          <w:rFonts w:eastAsiaTheme="minorEastAsia"/>
          <w:b/>
          <w:lang w:eastAsia="zh-CN"/>
        </w:rPr>
      </w:pPr>
      <w:r>
        <w:rPr>
          <w:rFonts w:eastAsiaTheme="minorEastAsia"/>
          <w:b/>
          <w:lang w:eastAsia="zh-CN"/>
        </w:rPr>
        <w:t>Proposal 1: The threshold-based trigger for RVQoE reporting is not supported in Rel-18.</w:t>
      </w:r>
    </w:p>
    <w:p>
      <w:pPr>
        <w:rPr>
          <w:rFonts w:eastAsiaTheme="minorEastAsia"/>
          <w:b/>
          <w:lang w:val="en-US" w:eastAsia="zh-CN"/>
        </w:rPr>
      </w:pPr>
      <w:r>
        <w:rPr>
          <w:rFonts w:eastAsiaTheme="minorEastAsia"/>
          <w:b/>
          <w:lang w:val="en-US" w:eastAsia="zh-CN"/>
        </w:rPr>
        <w:t>Proposal 2: A non-UE ass</w:t>
      </w:r>
      <w:bookmarkStart w:id="10" w:name="_GoBack"/>
      <w:bookmarkEnd w:id="10"/>
      <w:r>
        <w:rPr>
          <w:rFonts w:eastAsiaTheme="minorEastAsia"/>
          <w:b/>
          <w:lang w:val="en-US" w:eastAsia="zh-CN"/>
        </w:rPr>
        <w:t>ociated class-2 procedure with an optional UE-id list could be defined for the DU to deactivate RVQoE reporting over F1.</w:t>
      </w:r>
    </w:p>
    <w:p>
      <w:pPr>
        <w:spacing w:before="120" w:beforeLines="50"/>
        <w:rPr>
          <w:rFonts w:eastAsiaTheme="minorEastAsia"/>
          <w:b/>
          <w:lang w:eastAsia="zh-CN"/>
        </w:rPr>
      </w:pPr>
      <w:r>
        <w:rPr>
          <w:rFonts w:eastAsiaTheme="minorEastAsia"/>
          <w:b/>
          <w:lang w:eastAsia="zh-CN"/>
        </w:rPr>
        <w:t xml:space="preserve">Proposal 3: From NR to LTE, the source node selects which QoE configuration to keep by implementation. There is no need for the source node to be aware of the LTE UE capability for QMC. </w:t>
      </w:r>
    </w:p>
    <w:p>
      <w:pPr>
        <w:rPr>
          <w:rFonts w:eastAsiaTheme="minorEastAsia"/>
          <w:b/>
          <w:lang w:eastAsia="zh-CN"/>
        </w:rPr>
      </w:pPr>
      <w:r>
        <w:rPr>
          <w:rFonts w:hint="eastAsia" w:eastAsiaTheme="minorEastAsia"/>
          <w:b/>
          <w:lang w:eastAsia="zh-CN"/>
        </w:rPr>
        <w:t>P</w:t>
      </w:r>
      <w:r>
        <w:rPr>
          <w:rFonts w:eastAsiaTheme="minorEastAsia"/>
          <w:b/>
          <w:lang w:eastAsia="zh-CN"/>
        </w:rPr>
        <w:t>roposal 4: Introduce priority as assistance information per QoE Reference.</w:t>
      </w:r>
    </w:p>
    <w:p>
      <w:pPr>
        <w:rPr>
          <w:rFonts w:eastAsiaTheme="minorEastAsia"/>
          <w:b/>
          <w:lang w:eastAsia="zh-CN"/>
        </w:rPr>
      </w:pPr>
      <w:r>
        <w:rPr>
          <w:rFonts w:hint="eastAsia" w:eastAsiaTheme="minorEastAsia"/>
          <w:b/>
          <w:lang w:eastAsia="zh-CN"/>
        </w:rPr>
        <w:t>P</w:t>
      </w:r>
      <w:r>
        <w:rPr>
          <w:rFonts w:eastAsiaTheme="minorEastAsia"/>
          <w:b/>
          <w:lang w:eastAsia="zh-CN"/>
        </w:rPr>
        <w:t>roposal 5: Send an LS to SA5 to inform that priority is introduced in the QMC configuration per QoE Reference.</w:t>
      </w:r>
    </w:p>
    <w:p>
      <w:pPr>
        <w:rPr>
          <w:rFonts w:eastAsiaTheme="minorEastAsia"/>
          <w:b/>
          <w:lang w:eastAsia="zh-CN"/>
        </w:rPr>
      </w:pPr>
    </w:p>
    <w:p>
      <w:pPr>
        <w:pStyle w:val="2"/>
        <w:rPr>
          <w:rFonts w:eastAsiaTheme="minorEastAsia"/>
          <w:lang w:eastAsia="zh-CN"/>
        </w:rPr>
      </w:pPr>
      <w:r>
        <w:rPr>
          <w:rFonts w:hint="eastAsia" w:eastAsiaTheme="minorEastAsia"/>
          <w:lang w:val="en-US" w:eastAsia="zh-CN"/>
        </w:rPr>
        <w:t>References</w:t>
      </w:r>
    </w:p>
    <w:p>
      <w:pPr>
        <w:numPr>
          <w:ilvl w:val="0"/>
          <w:numId w:val="4"/>
        </w:numPr>
        <w:rPr>
          <w:rFonts w:eastAsiaTheme="minorEastAsia"/>
          <w:lang w:val="en-US" w:eastAsia="zh-CN"/>
        </w:rPr>
      </w:pPr>
      <w:r>
        <w:rPr>
          <w:rFonts w:hint="eastAsia" w:eastAsiaTheme="minorEastAsia"/>
          <w:lang w:val="en-US" w:eastAsia="zh-CN"/>
        </w:rPr>
        <w:t>R3-235026 Reply LS on buffer level threshold-based RVQoE reporting</w:t>
      </w:r>
    </w:p>
    <w:p>
      <w:pPr>
        <w:numPr>
          <w:ilvl w:val="0"/>
          <w:numId w:val="4"/>
        </w:numPr>
        <w:rPr>
          <w:rFonts w:eastAsiaTheme="minorEastAsia"/>
          <w:lang w:val="en-US" w:eastAsia="zh-CN"/>
        </w:rPr>
      </w:pPr>
      <w:r>
        <w:rPr>
          <w:rFonts w:hint="eastAsia" w:eastAsiaTheme="minorEastAsia"/>
          <w:lang w:val="en-US" w:eastAsia="zh-CN"/>
        </w:rPr>
        <w:t xml:space="preserve">R3-235028 </w:t>
      </w:r>
      <w:r>
        <w:rPr>
          <w:rFonts w:eastAsiaTheme="minorEastAsia"/>
          <w:lang w:val="en-US" w:eastAsia="zh-CN"/>
        </w:rPr>
        <w:t>Reply LS on the feasibility of introducing assistance information for handling of QoE reporting during RAN overload</w:t>
      </w:r>
    </w:p>
    <w:p>
      <w:pPr>
        <w:rPr>
          <w:rFonts w:eastAsiaTheme="minorEastAsia"/>
          <w:lang w:val="en-US" w:eastAsia="zh-CN"/>
        </w:rPr>
      </w:pPr>
    </w:p>
    <w:p>
      <w:pPr>
        <w:pStyle w:val="2"/>
        <w:rPr>
          <w:rFonts w:eastAsiaTheme="minorEastAsia"/>
          <w:lang w:eastAsia="zh-CN"/>
        </w:rPr>
      </w:pPr>
      <w:r>
        <w:rPr>
          <w:rFonts w:hint="eastAsia" w:eastAsiaTheme="minorEastAsia"/>
          <w:lang w:val="en-US" w:eastAsia="zh-CN"/>
        </w:rPr>
        <w:t>Annex</w:t>
      </w:r>
    </w:p>
    <w:p>
      <w:pPr>
        <w:rPr>
          <w:rFonts w:eastAsiaTheme="minorEastAsia"/>
          <w:lang w:val="en-US" w:eastAsia="zh-CN"/>
        </w:rPr>
      </w:pPr>
    </w:p>
    <w:p>
      <w:pPr>
        <w:spacing w:after="60"/>
        <w:ind w:left="1985" w:hanging="1985"/>
        <w:rPr>
          <w:rFonts w:eastAsia="宋体" w:cs="Arial"/>
          <w:b/>
          <w:sz w:val="22"/>
          <w:szCs w:val="22"/>
          <w:lang w:val="en-US" w:eastAsia="zh-CN"/>
        </w:rPr>
      </w:pPr>
      <w:r>
        <w:rPr>
          <w:rFonts w:cs="Arial"/>
          <w:b/>
          <w:sz w:val="22"/>
          <w:szCs w:val="22"/>
        </w:rPr>
        <w:t>Title:</w:t>
      </w:r>
      <w:r>
        <w:rPr>
          <w:rFonts w:cs="Arial"/>
          <w:b/>
          <w:sz w:val="22"/>
          <w:szCs w:val="22"/>
        </w:rPr>
        <w:tab/>
      </w:r>
      <w:r>
        <w:rPr>
          <w:rFonts w:hint="eastAsia" w:eastAsia="宋体" w:cs="Arial"/>
          <w:b/>
          <w:sz w:val="22"/>
          <w:szCs w:val="22"/>
          <w:lang w:val="en-US" w:eastAsia="zh-CN"/>
        </w:rPr>
        <w:t>LS on the introduction of priority into the QMC configuration</w:t>
      </w:r>
    </w:p>
    <w:p>
      <w:pPr>
        <w:spacing w:after="60"/>
        <w:ind w:left="1985" w:hanging="1985"/>
        <w:rPr>
          <w:rFonts w:eastAsia="宋体" w:cs="Arial"/>
          <w:b/>
          <w:bCs/>
          <w:sz w:val="22"/>
          <w:szCs w:val="22"/>
          <w:lang w:val="en-US" w:eastAsia="zh-CN"/>
        </w:rPr>
      </w:pPr>
      <w:bookmarkStart w:id="3" w:name="OLE_LINK57"/>
      <w:bookmarkStart w:id="4" w:name="OLE_LINK58"/>
      <w:r>
        <w:rPr>
          <w:rFonts w:cs="Arial"/>
          <w:b/>
          <w:sz w:val="22"/>
          <w:szCs w:val="22"/>
        </w:rPr>
        <w:t>Response to:</w:t>
      </w:r>
      <w:r>
        <w:rPr>
          <w:rFonts w:cs="Arial"/>
          <w:b/>
          <w:bCs/>
          <w:sz w:val="22"/>
          <w:szCs w:val="22"/>
        </w:rPr>
        <w:tab/>
      </w:r>
      <w:r>
        <w:rPr>
          <w:rFonts w:hint="eastAsia" w:eastAsia="宋体" w:cs="Arial"/>
          <w:b/>
          <w:bCs/>
          <w:sz w:val="22"/>
          <w:szCs w:val="22"/>
          <w:lang w:val="en-US" w:eastAsia="zh-CN"/>
        </w:rPr>
        <w:t>-</w:t>
      </w:r>
    </w:p>
    <w:bookmarkEnd w:id="3"/>
    <w:bookmarkEnd w:id="4"/>
    <w:p>
      <w:pPr>
        <w:spacing w:after="60"/>
        <w:ind w:left="1985" w:hanging="1985"/>
        <w:rPr>
          <w:rFonts w:cs="Arial"/>
          <w:b/>
          <w:bCs/>
          <w:sz w:val="22"/>
          <w:szCs w:val="22"/>
        </w:rPr>
      </w:pPr>
      <w:bookmarkStart w:id="5" w:name="OLE_LINK61"/>
      <w:bookmarkStart w:id="6" w:name="OLE_LINK60"/>
      <w:bookmarkStart w:id="7" w:name="OLE_LINK59"/>
      <w:r>
        <w:rPr>
          <w:rFonts w:cs="Arial"/>
          <w:b/>
          <w:sz w:val="22"/>
          <w:szCs w:val="22"/>
        </w:rPr>
        <w:t>Release:</w:t>
      </w:r>
      <w:r>
        <w:rPr>
          <w:rFonts w:cs="Arial"/>
          <w:b/>
          <w:bCs/>
          <w:sz w:val="22"/>
          <w:szCs w:val="22"/>
        </w:rPr>
        <w:tab/>
      </w:r>
      <w:r>
        <w:rPr>
          <w:rFonts w:cs="Arial"/>
          <w:b/>
          <w:sz w:val="22"/>
          <w:szCs w:val="22"/>
          <w:lang w:val="en-US" w:eastAsia="zh-CN"/>
        </w:rPr>
        <w:t>Release 18</w:t>
      </w:r>
    </w:p>
    <w:bookmarkEnd w:id="5"/>
    <w:bookmarkEnd w:id="6"/>
    <w:bookmarkEnd w:id="7"/>
    <w:p>
      <w:pPr>
        <w:spacing w:after="60"/>
        <w:ind w:left="1985" w:hanging="1985"/>
        <w:rPr>
          <w:rFonts w:eastAsia="宋体" w:cs="Arial"/>
          <w:b/>
          <w:bCs/>
          <w:sz w:val="22"/>
          <w:szCs w:val="22"/>
          <w:lang w:val="en-US" w:eastAsia="zh-CN"/>
        </w:rPr>
      </w:pPr>
      <w:r>
        <w:rPr>
          <w:rFonts w:cs="Arial"/>
          <w:b/>
          <w:sz w:val="22"/>
          <w:szCs w:val="22"/>
        </w:rPr>
        <w:t>Work Item:</w:t>
      </w:r>
      <w:r>
        <w:rPr>
          <w:rFonts w:cs="Arial"/>
          <w:b/>
          <w:bCs/>
          <w:sz w:val="22"/>
          <w:szCs w:val="22"/>
        </w:rPr>
        <w:tab/>
      </w:r>
      <w:r>
        <w:rPr>
          <w:rFonts w:hint="eastAsia" w:eastAsia="宋体" w:cs="Arial"/>
          <w:b/>
          <w:bCs/>
          <w:sz w:val="22"/>
          <w:szCs w:val="22"/>
          <w:lang w:val="en-US" w:eastAsia="zh-CN"/>
        </w:rPr>
        <w:t>NR_QoE_enh</w:t>
      </w:r>
    </w:p>
    <w:p>
      <w:pPr>
        <w:spacing w:after="60"/>
        <w:ind w:left="1985" w:hanging="1985"/>
        <w:rPr>
          <w:rFonts w:cs="Arial"/>
          <w:b/>
          <w:sz w:val="22"/>
          <w:szCs w:val="22"/>
        </w:rPr>
      </w:pPr>
    </w:p>
    <w:p>
      <w:pPr>
        <w:spacing w:after="60"/>
        <w:ind w:left="1985" w:hanging="1985"/>
        <w:rPr>
          <w:rFonts w:eastAsia="宋体" w:cs="Arial"/>
          <w:b/>
          <w:sz w:val="22"/>
          <w:szCs w:val="22"/>
          <w:lang w:val="en-US" w:eastAsia="zh-CN"/>
        </w:rPr>
      </w:pPr>
      <w:r>
        <w:rPr>
          <w:rFonts w:cs="Arial"/>
          <w:b/>
          <w:sz w:val="22"/>
          <w:szCs w:val="22"/>
        </w:rPr>
        <w:t>Source:</w:t>
      </w:r>
      <w:r>
        <w:rPr>
          <w:rFonts w:cs="Arial"/>
          <w:b/>
          <w:sz w:val="22"/>
          <w:szCs w:val="22"/>
        </w:rPr>
        <w:tab/>
      </w:r>
      <w:r>
        <w:rPr>
          <w:rFonts w:hint="eastAsia" w:eastAsia="宋体" w:cs="Arial"/>
          <w:b/>
          <w:sz w:val="22"/>
          <w:szCs w:val="22"/>
          <w:lang w:val="en-US" w:eastAsia="zh-CN"/>
        </w:rPr>
        <w:t>ZTE[to be RAN3]</w:t>
      </w:r>
    </w:p>
    <w:p>
      <w:pPr>
        <w:spacing w:after="60"/>
        <w:ind w:left="1985" w:hanging="1985"/>
        <w:rPr>
          <w:rFonts w:eastAsia="宋体" w:cs="Arial"/>
          <w:b/>
          <w:bCs/>
          <w:sz w:val="22"/>
          <w:szCs w:val="22"/>
          <w:lang w:val="en-US" w:eastAsia="zh-CN"/>
        </w:rPr>
      </w:pPr>
      <w:r>
        <w:rPr>
          <w:rFonts w:cs="Arial"/>
          <w:b/>
          <w:sz w:val="22"/>
          <w:szCs w:val="22"/>
        </w:rPr>
        <w:t>To:</w:t>
      </w:r>
      <w:r>
        <w:rPr>
          <w:rFonts w:cs="Arial"/>
          <w:b/>
          <w:bCs/>
          <w:sz w:val="22"/>
          <w:szCs w:val="22"/>
        </w:rPr>
        <w:tab/>
      </w:r>
      <w:r>
        <w:rPr>
          <w:rFonts w:hint="eastAsia" w:eastAsia="宋体" w:cs="Arial"/>
          <w:b/>
          <w:bCs/>
          <w:sz w:val="22"/>
          <w:szCs w:val="22"/>
          <w:lang w:val="en-US" w:eastAsia="zh-CN"/>
        </w:rPr>
        <w:t>SA5</w:t>
      </w:r>
    </w:p>
    <w:p>
      <w:pPr>
        <w:spacing w:after="60"/>
        <w:ind w:left="1985" w:hanging="1985"/>
        <w:rPr>
          <w:rFonts w:cs="Arial"/>
          <w:b/>
          <w:bCs/>
          <w:sz w:val="22"/>
          <w:szCs w:val="22"/>
        </w:rPr>
      </w:pPr>
      <w:bookmarkStart w:id="8" w:name="OLE_LINK46"/>
      <w:bookmarkStart w:id="9" w:name="OLE_LINK45"/>
      <w:r>
        <w:rPr>
          <w:rFonts w:cs="Arial"/>
          <w:b/>
          <w:sz w:val="22"/>
          <w:szCs w:val="22"/>
        </w:rPr>
        <w:t>Cc:</w:t>
      </w:r>
      <w:r>
        <w:rPr>
          <w:rFonts w:cs="Arial"/>
          <w:b/>
          <w:bCs/>
          <w:sz w:val="22"/>
          <w:szCs w:val="22"/>
        </w:rPr>
        <w:tab/>
      </w:r>
    </w:p>
    <w:bookmarkEnd w:id="8"/>
    <w:bookmarkEnd w:id="9"/>
    <w:p>
      <w:pPr>
        <w:spacing w:after="60"/>
        <w:ind w:left="1985" w:hanging="1985"/>
        <w:rPr>
          <w:rFonts w:cs="Arial"/>
          <w:bCs/>
        </w:rPr>
      </w:pPr>
    </w:p>
    <w:p>
      <w:pPr>
        <w:spacing w:after="60"/>
        <w:ind w:left="1985" w:hanging="1985"/>
        <w:rPr>
          <w:rFonts w:eastAsia="宋体" w:cs="Arial"/>
          <w:b/>
          <w:bCs/>
          <w:sz w:val="22"/>
          <w:szCs w:val="22"/>
          <w:lang w:val="en-US" w:eastAsia="zh-CN"/>
        </w:rPr>
      </w:pPr>
      <w:r>
        <w:rPr>
          <w:rFonts w:cs="Arial"/>
          <w:b/>
          <w:sz w:val="22"/>
          <w:szCs w:val="22"/>
        </w:rPr>
        <w:t>Contact person:</w:t>
      </w:r>
      <w:r>
        <w:rPr>
          <w:rFonts w:cs="Arial"/>
          <w:b/>
          <w:bCs/>
          <w:sz w:val="22"/>
          <w:szCs w:val="22"/>
        </w:rPr>
        <w:tab/>
      </w:r>
      <w:r>
        <w:rPr>
          <w:rFonts w:hint="eastAsia" w:eastAsia="宋体" w:cs="Arial"/>
          <w:b/>
          <w:bCs/>
          <w:sz w:val="22"/>
          <w:szCs w:val="22"/>
          <w:lang w:val="en-US" w:eastAsia="zh-CN"/>
        </w:rPr>
        <w:t>Man Zhang</w:t>
      </w:r>
    </w:p>
    <w:p>
      <w:pPr>
        <w:spacing w:after="60"/>
        <w:ind w:left="1985" w:hanging="1985"/>
        <w:rPr>
          <w:rFonts w:eastAsia="宋体" w:cs="Arial"/>
          <w:b/>
          <w:bCs/>
          <w:sz w:val="22"/>
          <w:szCs w:val="22"/>
          <w:lang w:val="en-US" w:eastAsia="zh-CN"/>
        </w:rPr>
      </w:pPr>
      <w:r>
        <w:rPr>
          <w:rFonts w:cs="Arial"/>
          <w:b/>
          <w:bCs/>
          <w:sz w:val="22"/>
          <w:szCs w:val="22"/>
        </w:rPr>
        <w:tab/>
      </w:r>
      <w:r>
        <w:rPr>
          <w:rFonts w:hint="eastAsia" w:eastAsia="宋体" w:cs="Arial"/>
          <w:b/>
          <w:bCs/>
          <w:sz w:val="22"/>
          <w:szCs w:val="22"/>
          <w:lang w:val="en-US" w:eastAsia="zh-CN"/>
        </w:rPr>
        <w:t>zhang.man4</w:t>
      </w:r>
      <w:r>
        <w:rPr>
          <w:rFonts w:hint="eastAsia" w:cs="Arial"/>
          <w:b/>
          <w:bCs/>
          <w:sz w:val="22"/>
          <w:szCs w:val="22"/>
        </w:rPr>
        <w:t>@</w:t>
      </w:r>
      <w:r>
        <w:rPr>
          <w:rFonts w:hint="eastAsia" w:eastAsia="宋体" w:cs="Arial"/>
          <w:b/>
          <w:bCs/>
          <w:sz w:val="22"/>
          <w:szCs w:val="22"/>
          <w:lang w:val="en-US" w:eastAsia="zh-CN"/>
        </w:rPr>
        <w:t>zte</w:t>
      </w:r>
      <w:r>
        <w:rPr>
          <w:rFonts w:cs="Arial"/>
          <w:b/>
          <w:bCs/>
          <w:sz w:val="22"/>
          <w:szCs w:val="22"/>
        </w:rPr>
        <w:t>.com</w:t>
      </w:r>
      <w:r>
        <w:rPr>
          <w:rFonts w:hint="eastAsia" w:eastAsia="宋体" w:cs="Arial"/>
          <w:b/>
          <w:bCs/>
          <w:sz w:val="22"/>
          <w:szCs w:val="22"/>
          <w:lang w:val="en-US" w:eastAsia="zh-CN"/>
        </w:rPr>
        <w:t>.cn</w:t>
      </w:r>
    </w:p>
    <w:p>
      <w:pPr>
        <w:spacing w:after="60"/>
        <w:ind w:left="1985" w:hanging="1985"/>
        <w:rPr>
          <w:rFonts w:cs="Arial"/>
          <w:b/>
          <w:sz w:val="22"/>
          <w:szCs w:val="22"/>
        </w:rPr>
      </w:pPr>
    </w:p>
    <w:p>
      <w:pPr>
        <w:spacing w:after="60"/>
        <w:ind w:left="1985" w:hanging="1985"/>
        <w:rPr>
          <w:rFonts w:cs="Arial"/>
          <w:b/>
          <w:sz w:val="22"/>
          <w:szCs w:val="22"/>
        </w:rPr>
      </w:pPr>
      <w:r>
        <w:rPr>
          <w:rFonts w:cs="Arial"/>
          <w:b/>
          <w:sz w:val="22"/>
          <w:szCs w:val="22"/>
        </w:rPr>
        <w:t>Send any reply LS to:</w:t>
      </w:r>
      <w:r>
        <w:rPr>
          <w:rFonts w:cs="Arial"/>
          <w:b/>
          <w:sz w:val="22"/>
          <w:szCs w:val="22"/>
        </w:rPr>
        <w:tab/>
      </w:r>
      <w:r>
        <w:rPr>
          <w:rFonts w:cs="Arial"/>
          <w:b/>
          <w:sz w:val="22"/>
          <w:szCs w:val="22"/>
        </w:rPr>
        <w:t xml:space="preserve">3GPP Liaisons Coordinator, </w:t>
      </w:r>
      <w:r>
        <w:fldChar w:fldCharType="begin"/>
      </w:r>
      <w:r>
        <w:instrText xml:space="preserve"> HYPERLINK "mailto:3GPPLiaison@etsi.org" </w:instrText>
      </w:r>
      <w:r>
        <w:fldChar w:fldCharType="separate"/>
      </w:r>
      <w:r>
        <w:rPr>
          <w:rStyle w:val="46"/>
          <w:rFonts w:cs="Arial"/>
          <w:b/>
          <w:sz w:val="22"/>
          <w:szCs w:val="22"/>
        </w:rPr>
        <w:t>mailto:3GPPLiaison@etsi.org</w:t>
      </w:r>
      <w:r>
        <w:rPr>
          <w:rStyle w:val="46"/>
          <w:rFonts w:cs="Arial"/>
          <w:b/>
          <w:sz w:val="22"/>
          <w:szCs w:val="22"/>
        </w:rPr>
        <w:fldChar w:fldCharType="end"/>
      </w:r>
    </w:p>
    <w:p>
      <w:pPr>
        <w:spacing w:after="60"/>
        <w:ind w:left="1985" w:hanging="1985"/>
        <w:rPr>
          <w:rFonts w:cs="Arial"/>
          <w:b/>
        </w:rPr>
      </w:pPr>
    </w:p>
    <w:p>
      <w:pPr>
        <w:spacing w:after="60"/>
        <w:ind w:left="1985" w:hanging="1985"/>
        <w:rPr>
          <w:rFonts w:eastAsia="宋体" w:cs="Arial"/>
          <w:bCs/>
          <w:lang w:val="en-US" w:eastAsia="zh-CN"/>
        </w:rPr>
      </w:pPr>
      <w:r>
        <w:rPr>
          <w:rFonts w:cs="Arial"/>
          <w:b/>
        </w:rPr>
        <w:t>Attachments:</w:t>
      </w:r>
      <w:r>
        <w:rPr>
          <w:rFonts w:cs="Arial"/>
          <w:bCs/>
        </w:rPr>
        <w:tab/>
      </w:r>
      <w:r>
        <w:rPr>
          <w:rFonts w:hint="eastAsia" w:eastAsia="宋体" w:cs="Arial"/>
          <w:b/>
          <w:lang w:val="en-US" w:eastAsia="zh-CN"/>
        </w:rPr>
        <w:t>R3-23xxxx</w:t>
      </w:r>
      <w:r>
        <w:rPr>
          <w:rFonts w:hint="eastAsia" w:eastAsia="宋体" w:cs="Arial"/>
          <w:bCs/>
          <w:lang w:val="en-US" w:eastAsia="zh-CN"/>
        </w:rPr>
        <w:t>[attach NGAP TP if agreed]</w:t>
      </w:r>
    </w:p>
    <w:p>
      <w:pPr>
        <w:rPr>
          <w:rFonts w:cs="Arial"/>
        </w:rPr>
      </w:pPr>
    </w:p>
    <w:p>
      <w:pPr>
        <w:pStyle w:val="2"/>
        <w:numPr>
          <w:ilvl w:val="0"/>
          <w:numId w:val="0"/>
        </w:numPr>
      </w:pPr>
      <w:r>
        <w:t>1</w:t>
      </w:r>
      <w:r>
        <w:tab/>
      </w:r>
      <w:r>
        <w:t>Overall description</w:t>
      </w:r>
    </w:p>
    <w:p>
      <w:pPr>
        <w:rPr>
          <w:rFonts w:cs="Arial"/>
          <w:lang w:val="en-US" w:eastAsia="zh-CN"/>
        </w:rPr>
      </w:pPr>
      <w:r>
        <w:rPr>
          <w:rFonts w:hint="eastAsia" w:cs="Arial"/>
          <w:bCs/>
          <w:lang w:val="en-US" w:eastAsia="zh-CN"/>
        </w:rPr>
        <w:t xml:space="preserve">RAN3 thanks SA5 for replying to RAN3 in S5-235542 about questions on assistance information and confirming the feasibility of </w:t>
      </w:r>
      <w:r>
        <w:rPr>
          <w:rFonts w:cs="Arial"/>
          <w:lang w:val="en-US" w:eastAsia="zh-CN"/>
        </w:rPr>
        <w:t>introduc</w:t>
      </w:r>
      <w:r>
        <w:rPr>
          <w:rFonts w:hint="eastAsia" w:cs="Arial"/>
          <w:lang w:val="en-US" w:eastAsia="zh-CN"/>
        </w:rPr>
        <w:t>ing</w:t>
      </w:r>
      <w:r>
        <w:rPr>
          <w:rFonts w:cs="Arial"/>
          <w:lang w:val="en-US" w:eastAsia="zh-CN"/>
        </w:rPr>
        <w:t xml:space="preserve"> a priority per QoE configuration</w:t>
      </w:r>
      <w:r>
        <w:rPr>
          <w:rFonts w:hint="eastAsia" w:cs="Arial"/>
          <w:lang w:val="en-US" w:eastAsia="zh-CN"/>
        </w:rPr>
        <w:t xml:space="preserve">, for handling QoE reporting in RAN overload. </w:t>
      </w:r>
    </w:p>
    <w:p>
      <w:pPr>
        <w:rPr>
          <w:rFonts w:cs="Arial"/>
          <w:lang w:val="en-US" w:eastAsia="zh-CN"/>
        </w:rPr>
      </w:pPr>
      <w:r>
        <w:rPr>
          <w:rFonts w:hint="eastAsia" w:cs="Arial"/>
          <w:lang w:val="en-US" w:eastAsia="zh-CN"/>
        </w:rPr>
        <w:t>After the discussion in RAN3#121bis meeting, RAN3 has taken SA5</w:t>
      </w:r>
      <w:r>
        <w:rPr>
          <w:rFonts w:cs="Arial"/>
          <w:lang w:val="en-US" w:eastAsia="zh-CN"/>
        </w:rPr>
        <w:t>’</w:t>
      </w:r>
      <w:r>
        <w:rPr>
          <w:rFonts w:hint="eastAsia" w:cs="Arial"/>
          <w:lang w:val="en-US" w:eastAsia="zh-CN"/>
        </w:rPr>
        <w:t>s reply into account and made the conclusion that priority could be introduced in the QMC configuration outside the QoE configuration container, in the basis of per QoE Reference. The agreed TP for NGAP is attached as a reference.</w:t>
      </w:r>
    </w:p>
    <w:p>
      <w:pPr>
        <w:pStyle w:val="2"/>
        <w:numPr>
          <w:ilvl w:val="0"/>
          <w:numId w:val="0"/>
        </w:numPr>
      </w:pPr>
      <w:r>
        <w:t>2</w:t>
      </w:r>
      <w:r>
        <w:tab/>
      </w:r>
      <w:r>
        <w:t>Actions</w:t>
      </w:r>
    </w:p>
    <w:p>
      <w:pPr>
        <w:spacing w:after="120"/>
        <w:ind w:left="1985" w:hanging="1985"/>
        <w:rPr>
          <w:rFonts w:cs="Arial"/>
          <w:b/>
          <w:lang w:val="en-US" w:eastAsia="zh-CN"/>
        </w:rPr>
      </w:pPr>
      <w:r>
        <w:rPr>
          <w:rFonts w:cs="Arial"/>
          <w:b/>
        </w:rPr>
        <w:t>To RAN3:</w:t>
      </w:r>
    </w:p>
    <w:p>
      <w:pPr>
        <w:rPr>
          <w:rFonts w:cs="Arial"/>
          <w:lang w:val="en-US"/>
        </w:rPr>
      </w:pPr>
      <w:r>
        <w:rPr>
          <w:rFonts w:cs="Arial"/>
          <w:b/>
        </w:rPr>
        <w:t xml:space="preserve">ACTION: </w:t>
      </w:r>
      <w:r>
        <w:rPr>
          <w:rFonts w:cs="Arial"/>
          <w:b/>
          <w:color w:val="0070C0"/>
        </w:rPr>
        <w:tab/>
      </w:r>
      <w:r>
        <w:rPr>
          <w:rFonts w:hint="eastAsia"/>
          <w:lang w:val="en-US" w:eastAsia="zh-CN"/>
        </w:rPr>
        <w:t>RAN3 would like to ask SA5 to</w:t>
      </w:r>
      <w:r>
        <w:rPr>
          <w:lang w:val="en-US" w:eastAsia="zh-CN"/>
        </w:rPr>
        <w:t xml:space="preserve"> take </w:t>
      </w:r>
      <w:r>
        <w:rPr>
          <w:rFonts w:hint="eastAsia"/>
          <w:lang w:val="en-US" w:eastAsia="zh-CN"/>
        </w:rPr>
        <w:t>the above information</w:t>
      </w:r>
      <w:r>
        <w:rPr>
          <w:lang w:val="en-US" w:eastAsia="zh-CN"/>
        </w:rPr>
        <w:t xml:space="preserve"> into account</w:t>
      </w:r>
      <w:r>
        <w:rPr>
          <w:rFonts w:hint="eastAsia"/>
          <w:lang w:val="en-US" w:eastAsia="zh-CN"/>
        </w:rPr>
        <w:t xml:space="preserve"> and continue to work on SA5 specifications if needed</w:t>
      </w:r>
      <w:r>
        <w:rPr>
          <w:lang w:val="en-US" w:eastAsia="zh-CN"/>
        </w:rPr>
        <w:t>.</w:t>
      </w:r>
    </w:p>
    <w:p>
      <w:pPr>
        <w:spacing w:after="120"/>
        <w:ind w:left="993" w:hanging="993"/>
        <w:rPr>
          <w:rFonts w:cs="Arial"/>
          <w:lang w:val="en-US"/>
        </w:rPr>
      </w:pPr>
    </w:p>
    <w:p>
      <w:pPr>
        <w:pStyle w:val="2"/>
        <w:numPr>
          <w:ilvl w:val="0"/>
          <w:numId w:val="0"/>
        </w:numPr>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r>
        <w:rPr>
          <w:rFonts w:hint="eastAsia" w:eastAsia="宋体"/>
          <w:lang w:val="en-US" w:eastAsia="zh-CN"/>
        </w:rPr>
        <w:t>RAN3#122</w:t>
      </w:r>
      <w:r>
        <w:tab/>
      </w:r>
      <w:r>
        <w:tab/>
      </w:r>
      <w:r>
        <w:t>13 - 17 November 2023</w:t>
      </w:r>
      <w:r>
        <w:tab/>
      </w:r>
      <w:r>
        <w:tab/>
      </w:r>
      <w:r>
        <w:tab/>
      </w:r>
      <w:r>
        <w:t>Chicago, US</w:t>
      </w:r>
    </w:p>
    <w:p>
      <w:pPr>
        <w:rPr>
          <w:rFonts w:eastAsia="宋体"/>
          <w:lang w:val="en-US" w:eastAsia="zh-CN"/>
        </w:rPr>
      </w:pPr>
      <w:r>
        <w:rPr>
          <w:rFonts w:hint="eastAsia" w:eastAsia="宋体"/>
          <w:lang w:val="en-US" w:eastAsia="zh-CN"/>
        </w:rPr>
        <w:t>RAN3#123</w:t>
      </w:r>
      <w:r>
        <w:tab/>
      </w:r>
      <w:r>
        <w:tab/>
      </w:r>
      <w:r>
        <w:rPr>
          <w:rFonts w:hint="eastAsia" w:eastAsia="宋体"/>
          <w:lang w:val="en-US" w:eastAsia="zh-CN"/>
        </w:rPr>
        <w:t>26 February - 1 March 2024</w:t>
      </w:r>
      <w:r>
        <w:tab/>
      </w:r>
      <w:r>
        <w:tab/>
      </w:r>
      <w:r>
        <w:rPr>
          <w:rFonts w:hint="eastAsia" w:eastAsia="宋体"/>
          <w:lang w:val="en-US" w:eastAsia="zh-CN"/>
        </w:rPr>
        <w:t>Athens, Greece</w:t>
      </w:r>
    </w:p>
    <w:p>
      <w:pPr>
        <w:rPr>
          <w:rFonts w:eastAsiaTheme="minorEastAsia"/>
          <w:lang w:val="en-US" w:eastAsia="zh-CN"/>
        </w:rPr>
      </w:pP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822C21"/>
    <w:multiLevelType w:val="singleLevel"/>
    <w:tmpl w:val="F9822C21"/>
    <w:lvl w:ilvl="0" w:tentative="0">
      <w:start w:val="1"/>
      <w:numFmt w:val="decimal"/>
      <w:suff w:val="space"/>
      <w:lvlText w:val="[%1]"/>
      <w:lvlJc w:val="left"/>
    </w:lvl>
  </w:abstractNum>
  <w:abstractNum w:abstractNumId="1">
    <w:nsid w:val="0F9D220C"/>
    <w:multiLevelType w:val="multilevel"/>
    <w:tmpl w:val="0F9D220C"/>
    <w:lvl w:ilvl="0" w:tentative="0">
      <w:start w:val="2"/>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634749D"/>
    <w:multiLevelType w:val="multilevel"/>
    <w:tmpl w:val="4634749D"/>
    <w:lvl w:ilvl="0" w:tentative="0">
      <w:start w:val="1"/>
      <w:numFmt w:val="decimal"/>
      <w:pStyle w:val="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B7B3979"/>
    <w:multiLevelType w:val="multilevel"/>
    <w:tmpl w:val="5B7B3979"/>
    <w:lvl w:ilvl="0" w:tentative="0">
      <w:start w:val="1"/>
      <w:numFmt w:val="decimal"/>
      <w:pStyle w:val="3"/>
      <w:lvlText w:val="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2C8"/>
    <w:rsid w:val="00000DF0"/>
    <w:rsid w:val="00001E8F"/>
    <w:rsid w:val="00011A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94A9F"/>
    <w:rsid w:val="002A37C8"/>
    <w:rsid w:val="002A47EF"/>
    <w:rsid w:val="002B23F9"/>
    <w:rsid w:val="002B24C6"/>
    <w:rsid w:val="002B5741"/>
    <w:rsid w:val="002B5B7A"/>
    <w:rsid w:val="002C238A"/>
    <w:rsid w:val="002E595A"/>
    <w:rsid w:val="00305409"/>
    <w:rsid w:val="00332A03"/>
    <w:rsid w:val="0035319E"/>
    <w:rsid w:val="00353346"/>
    <w:rsid w:val="00376EE0"/>
    <w:rsid w:val="003872C8"/>
    <w:rsid w:val="00392B19"/>
    <w:rsid w:val="00396631"/>
    <w:rsid w:val="003A4E1D"/>
    <w:rsid w:val="003A5266"/>
    <w:rsid w:val="003A6C81"/>
    <w:rsid w:val="003B597F"/>
    <w:rsid w:val="003B7609"/>
    <w:rsid w:val="003C12C0"/>
    <w:rsid w:val="003C1335"/>
    <w:rsid w:val="003C51AB"/>
    <w:rsid w:val="003D01A0"/>
    <w:rsid w:val="003D15E8"/>
    <w:rsid w:val="003D6035"/>
    <w:rsid w:val="003E0C0E"/>
    <w:rsid w:val="003E1A36"/>
    <w:rsid w:val="003F3BB6"/>
    <w:rsid w:val="003F54CE"/>
    <w:rsid w:val="003F76A8"/>
    <w:rsid w:val="0040623E"/>
    <w:rsid w:val="004165D0"/>
    <w:rsid w:val="004242F1"/>
    <w:rsid w:val="00431005"/>
    <w:rsid w:val="00447131"/>
    <w:rsid w:val="004673FA"/>
    <w:rsid w:val="00467657"/>
    <w:rsid w:val="00477480"/>
    <w:rsid w:val="00477891"/>
    <w:rsid w:val="004839DB"/>
    <w:rsid w:val="004865D4"/>
    <w:rsid w:val="004A1950"/>
    <w:rsid w:val="004A20E3"/>
    <w:rsid w:val="004B75B7"/>
    <w:rsid w:val="004D6D11"/>
    <w:rsid w:val="004F12CD"/>
    <w:rsid w:val="004F242B"/>
    <w:rsid w:val="00501900"/>
    <w:rsid w:val="005124D6"/>
    <w:rsid w:val="0051580D"/>
    <w:rsid w:val="00520062"/>
    <w:rsid w:val="00540E46"/>
    <w:rsid w:val="00564BDC"/>
    <w:rsid w:val="00592D74"/>
    <w:rsid w:val="00592FB9"/>
    <w:rsid w:val="00595048"/>
    <w:rsid w:val="005A2322"/>
    <w:rsid w:val="005C4D70"/>
    <w:rsid w:val="005D6988"/>
    <w:rsid w:val="005E2C44"/>
    <w:rsid w:val="005E3D2A"/>
    <w:rsid w:val="005E4916"/>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C58EB"/>
    <w:rsid w:val="006D56BC"/>
    <w:rsid w:val="006E21FB"/>
    <w:rsid w:val="006E74F4"/>
    <w:rsid w:val="0071052A"/>
    <w:rsid w:val="00711130"/>
    <w:rsid w:val="0072203C"/>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6DDC"/>
    <w:rsid w:val="008279FA"/>
    <w:rsid w:val="00845D17"/>
    <w:rsid w:val="008579E4"/>
    <w:rsid w:val="008626E7"/>
    <w:rsid w:val="00870EE7"/>
    <w:rsid w:val="008A44DB"/>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C332E"/>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8560B"/>
    <w:rsid w:val="00A90C70"/>
    <w:rsid w:val="00AB00C3"/>
    <w:rsid w:val="00AB1244"/>
    <w:rsid w:val="00AD1CD8"/>
    <w:rsid w:val="00AE5A38"/>
    <w:rsid w:val="00AE6E2C"/>
    <w:rsid w:val="00AF43A8"/>
    <w:rsid w:val="00B0502B"/>
    <w:rsid w:val="00B24807"/>
    <w:rsid w:val="00B24B99"/>
    <w:rsid w:val="00B258BB"/>
    <w:rsid w:val="00B437CA"/>
    <w:rsid w:val="00B50379"/>
    <w:rsid w:val="00B54148"/>
    <w:rsid w:val="00B560B5"/>
    <w:rsid w:val="00B67B97"/>
    <w:rsid w:val="00B70BDD"/>
    <w:rsid w:val="00B76C75"/>
    <w:rsid w:val="00B968C8"/>
    <w:rsid w:val="00B97AA0"/>
    <w:rsid w:val="00BA3EC5"/>
    <w:rsid w:val="00BB5DFC"/>
    <w:rsid w:val="00BD279D"/>
    <w:rsid w:val="00BD6BB8"/>
    <w:rsid w:val="00BE3B42"/>
    <w:rsid w:val="00C12DBC"/>
    <w:rsid w:val="00C31B69"/>
    <w:rsid w:val="00C5481B"/>
    <w:rsid w:val="00C573F0"/>
    <w:rsid w:val="00C74ED2"/>
    <w:rsid w:val="00C95985"/>
    <w:rsid w:val="00C95B80"/>
    <w:rsid w:val="00CA6304"/>
    <w:rsid w:val="00CB3915"/>
    <w:rsid w:val="00CB512D"/>
    <w:rsid w:val="00CB545C"/>
    <w:rsid w:val="00CC5026"/>
    <w:rsid w:val="00CC644F"/>
    <w:rsid w:val="00CE5C0E"/>
    <w:rsid w:val="00D03F9A"/>
    <w:rsid w:val="00D104E0"/>
    <w:rsid w:val="00D157AF"/>
    <w:rsid w:val="00D202FA"/>
    <w:rsid w:val="00D35F6F"/>
    <w:rsid w:val="00D608C3"/>
    <w:rsid w:val="00D63018"/>
    <w:rsid w:val="00D84FA7"/>
    <w:rsid w:val="00D95B9C"/>
    <w:rsid w:val="00D96016"/>
    <w:rsid w:val="00DB66FE"/>
    <w:rsid w:val="00DC1884"/>
    <w:rsid w:val="00DD5724"/>
    <w:rsid w:val="00DE34CF"/>
    <w:rsid w:val="00DE6E1D"/>
    <w:rsid w:val="00E02866"/>
    <w:rsid w:val="00E15BA1"/>
    <w:rsid w:val="00E27E18"/>
    <w:rsid w:val="00E35A24"/>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50F19DC"/>
    <w:rsid w:val="08700747"/>
    <w:rsid w:val="0AD839F9"/>
    <w:rsid w:val="0B974FF6"/>
    <w:rsid w:val="0F6C31A1"/>
    <w:rsid w:val="16CE0C48"/>
    <w:rsid w:val="16D43F15"/>
    <w:rsid w:val="1EDC3FE8"/>
    <w:rsid w:val="1EF5408F"/>
    <w:rsid w:val="21233037"/>
    <w:rsid w:val="21A84A47"/>
    <w:rsid w:val="23281E99"/>
    <w:rsid w:val="2BD27A17"/>
    <w:rsid w:val="2C186EF8"/>
    <w:rsid w:val="2CB57D0D"/>
    <w:rsid w:val="2F9E5BEE"/>
    <w:rsid w:val="301753EE"/>
    <w:rsid w:val="3A4B2DD4"/>
    <w:rsid w:val="3A5E1F9B"/>
    <w:rsid w:val="3C116A45"/>
    <w:rsid w:val="413B48E5"/>
    <w:rsid w:val="41E4795D"/>
    <w:rsid w:val="45453DC2"/>
    <w:rsid w:val="456956E3"/>
    <w:rsid w:val="462437D9"/>
    <w:rsid w:val="4802612F"/>
    <w:rsid w:val="48051FA2"/>
    <w:rsid w:val="482374E3"/>
    <w:rsid w:val="488F1FCC"/>
    <w:rsid w:val="4C4C1A5A"/>
    <w:rsid w:val="4EC714DC"/>
    <w:rsid w:val="4EDD20FD"/>
    <w:rsid w:val="512212BB"/>
    <w:rsid w:val="53025952"/>
    <w:rsid w:val="5B0638CE"/>
    <w:rsid w:val="5C512764"/>
    <w:rsid w:val="60EF4D22"/>
    <w:rsid w:val="62724D4F"/>
    <w:rsid w:val="63B247D9"/>
    <w:rsid w:val="68446846"/>
    <w:rsid w:val="6877593C"/>
    <w:rsid w:val="68D7378F"/>
    <w:rsid w:val="69760B4F"/>
    <w:rsid w:val="6C5271A6"/>
    <w:rsid w:val="6E047D39"/>
    <w:rsid w:val="73792F33"/>
    <w:rsid w:val="7661692F"/>
    <w:rsid w:val="7B0425C5"/>
    <w:rsid w:val="7B807936"/>
    <w:rsid w:val="7E35449C"/>
    <w:rsid w:val="7E503894"/>
    <w:rsid w:val="7F3521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Arial" w:hAnsi="Arial" w:eastAsia="Arial"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outlineLvl w:val="0"/>
    </w:pPr>
    <w:rPr>
      <w:rFonts w:ascii="Arial" w:hAnsi="Arial" w:eastAsia="Times New Roman" w:cs="Times New Roman"/>
      <w:sz w:val="36"/>
      <w:lang w:val="en-GB" w:eastAsia="en-US" w:bidi="ar-SA"/>
    </w:rPr>
  </w:style>
  <w:style w:type="paragraph" w:styleId="3">
    <w:name w:val="heading 2"/>
    <w:basedOn w:val="2"/>
    <w:next w:val="1"/>
    <w:qFormat/>
    <w:uiPriority w:val="0"/>
    <w:pPr>
      <w:numPr>
        <w:numId w:val="2"/>
      </w:num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character" w:customStyle="1" w:styleId="117">
    <w:name w:val="15"/>
    <w:basedOn w:val="44"/>
    <w:qFormat/>
    <w:uiPriority w:val="0"/>
    <w:rPr>
      <w:rFonts w:hint="default" w:ascii="CG Times (WN)" w:hAnsi="CG Times (WN)"/>
      <w:color w:val="0000FF"/>
      <w:u w:val="single"/>
    </w:rPr>
  </w:style>
  <w:style w:type="paragraph" w:styleId="11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ocuments\3GPP\RAN3#121-bis\topics\final%20drafts\R3-23xxxx%20Discussion%20on%20the%20other%20issues%20of%20NR%20QoE%20enhanc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R3-23xxxx Discussion on the other issues of NR QoE enhancement</Template>
  <Company>3GPP Support Team</Company>
  <Pages>4</Pages>
  <Words>1100</Words>
  <Characters>6270</Characters>
  <Lines>52</Lines>
  <Paragraphs>14</Paragraphs>
  <TotalTime>1</TotalTime>
  <ScaleCrop>false</ScaleCrop>
  <LinksUpToDate>false</LinksUpToDate>
  <CharactersWithSpaces>7356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2023-09-28T11:40:00Z</dcterms:created>
  <dc:creator>ZTE</dc:creator>
  <cp:lastModifiedBy>Author</cp:lastModifiedBy>
  <cp:lastPrinted>2411-12-31T15:59:00Z</cp:lastPrinted>
  <dcterms:modified xsi:type="dcterms:W3CDTF">2023-09-29T05:08:48Z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